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52C" w:rsidRPr="00A907E5" w:rsidRDefault="00C8252C" w:rsidP="00C8252C">
      <w:pPr>
        <w:shd w:val="clear" w:color="auto" w:fill="FFFFFF"/>
        <w:jc w:val="center"/>
        <w:rPr>
          <w:rFonts w:ascii="Cambria" w:hAnsi="Cambria"/>
          <w:b/>
          <w:bCs/>
          <w:color w:val="333333"/>
        </w:rPr>
      </w:pPr>
      <w:r w:rsidRPr="00A907E5">
        <w:rPr>
          <w:rFonts w:ascii="Cambria" w:hAnsi="Cambria"/>
          <w:b/>
          <w:bCs/>
          <w:color w:val="333333"/>
        </w:rPr>
        <w:t>ТАРИФЫ</w:t>
      </w:r>
    </w:p>
    <w:p w:rsidR="00C8252C" w:rsidRPr="00A907E5" w:rsidRDefault="00C8252C" w:rsidP="00C8252C">
      <w:pPr>
        <w:shd w:val="clear" w:color="auto" w:fill="FFFFFF"/>
        <w:jc w:val="center"/>
        <w:rPr>
          <w:rFonts w:ascii="Cambria" w:hAnsi="Cambria"/>
          <w:b/>
          <w:bCs/>
          <w:color w:val="333333"/>
        </w:rPr>
      </w:pPr>
      <w:r w:rsidRPr="00A907E5">
        <w:rPr>
          <w:rFonts w:ascii="Cambria" w:hAnsi="Cambria"/>
          <w:b/>
          <w:bCs/>
          <w:color w:val="333333"/>
        </w:rPr>
        <w:t>ООО «ИК «Гелиус Капитал» на оказание услуг на рынках ценных бумаг</w:t>
      </w:r>
    </w:p>
    <w:p w:rsidR="00E21F42" w:rsidRPr="00A907E5" w:rsidRDefault="00E21F42" w:rsidP="00C8252C">
      <w:pPr>
        <w:shd w:val="clear" w:color="auto" w:fill="FFFFFF"/>
        <w:jc w:val="center"/>
        <w:rPr>
          <w:rFonts w:ascii="Cambria" w:hAnsi="Cambria"/>
          <w:b/>
          <w:bCs/>
          <w:color w:val="333333"/>
          <w:sz w:val="20"/>
          <w:szCs w:val="20"/>
          <w:lang w:val="en-US"/>
        </w:rPr>
      </w:pPr>
      <w:bookmarkStart w:id="0" w:name="_GoBack"/>
      <w:bookmarkEnd w:id="0"/>
      <w:r w:rsidRPr="00A907E5">
        <w:rPr>
          <w:rFonts w:ascii="Cambria" w:hAnsi="Cambria"/>
          <w:b/>
          <w:bCs/>
          <w:color w:val="333333"/>
          <w:sz w:val="20"/>
          <w:szCs w:val="20"/>
        </w:rPr>
        <w:t>_____________________________________________________________________________________________</w:t>
      </w:r>
      <w:r w:rsidR="00A907E5">
        <w:rPr>
          <w:rFonts w:ascii="Cambria" w:hAnsi="Cambria"/>
          <w:b/>
          <w:bCs/>
          <w:color w:val="333333"/>
          <w:sz w:val="20"/>
          <w:szCs w:val="20"/>
          <w:lang w:val="en-US"/>
        </w:rPr>
        <w:t>________________________________</w:t>
      </w:r>
    </w:p>
    <w:p w:rsidR="00E52AD5" w:rsidRPr="00A907E5" w:rsidRDefault="00E52AD5" w:rsidP="00C8252C">
      <w:pPr>
        <w:shd w:val="clear" w:color="auto" w:fill="FFFFFF"/>
        <w:jc w:val="center"/>
        <w:rPr>
          <w:rFonts w:ascii="Cambria" w:hAnsi="Cambria"/>
          <w:b/>
          <w:bCs/>
          <w:color w:val="333333"/>
          <w:sz w:val="20"/>
          <w:szCs w:val="20"/>
        </w:rPr>
      </w:pPr>
      <w:r w:rsidRPr="00A907E5">
        <w:rPr>
          <w:rFonts w:ascii="Cambria" w:hAnsi="Cambria"/>
          <w:b/>
          <w:bCs/>
          <w:color w:val="333333"/>
          <w:sz w:val="20"/>
          <w:szCs w:val="20"/>
        </w:rPr>
        <w:t>Тарифный план "ПРАЙМ"</w:t>
      </w:r>
    </w:p>
    <w:p w:rsidR="00E52AD5" w:rsidRPr="00A907E5" w:rsidRDefault="00E52AD5" w:rsidP="00E52AD5">
      <w:pPr>
        <w:shd w:val="clear" w:color="auto" w:fill="FFFFFF"/>
        <w:rPr>
          <w:rFonts w:ascii="Cambria" w:hAnsi="Cambria"/>
          <w:bCs/>
          <w:color w:val="333333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4"/>
        <w:gridCol w:w="3916"/>
      </w:tblGrid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147861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База для расчета тарифа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Вознаграждение Брокера</w:t>
            </w:r>
          </w:p>
        </w:tc>
      </w:tr>
      <w:tr w:rsidR="00EA30F5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:rsidR="00EA30F5" w:rsidRPr="00A907E5" w:rsidRDefault="00EA30F5" w:rsidP="00255B90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Сектор "Фондовый рынок"</w:t>
            </w:r>
          </w:p>
        </w:tc>
      </w:tr>
      <w:tr w:rsidR="00EA30F5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EA30F5" w:rsidRPr="00A907E5" w:rsidRDefault="00EA30F5" w:rsidP="00A907E5">
            <w:pPr>
              <w:keepNext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Брокерские операции сценными бумагами на любой российской фондовой бирже, кроме</w:t>
            </w:r>
            <w:r w:rsidR="00A907E5">
              <w:rPr>
                <w:rFonts w:ascii="Cambria" w:hAnsi="Cambria"/>
                <w:b/>
                <w:color w:val="000000"/>
                <w:sz w:val="20"/>
                <w:szCs w:val="20"/>
                <w:lang w:val="en-US"/>
              </w:rPr>
              <w:t> </w:t>
            </w: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РЕПО</w:t>
            </w:r>
          </w:p>
        </w:tc>
      </w:tr>
      <w:tr w:rsidR="00EA30F5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A907E5" w:rsidRDefault="00EA30F5" w:rsidP="00A907E5">
            <w:pPr>
              <w:keepNext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В зависимости от дневного оборота</w:t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 xml:space="preserve"> (Клиент торгует через систему интернет-трейдинга)</w:t>
            </w:r>
          </w:p>
          <w:p w:rsidR="00EA30F5" w:rsidRPr="00A907E5" w:rsidRDefault="00A907E5" w:rsidP="00A907E5">
            <w:pPr>
              <w:keepNext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color w:val="000000"/>
                <w:sz w:val="20"/>
                <w:szCs w:val="20"/>
              </w:rPr>
              <w:t>О</w:t>
            </w:r>
            <w:r w:rsidR="00EA30F5"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бороты считаются по сделкам с ценными бумагами, кроме векселей и кроме сделок РЕПО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до 100 000,00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0,09% от суммы сделки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100 000,01 до 500 000,00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0,06% от суммы сделки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500 000,01 до 3 000 000,00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0,03% от суммы сделки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3 000 000,01 до 30 000 000,00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0,02% от суммы сделки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30 000 000,01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0,01% от суммы сделки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Вне зависимости от дневного оборота </w:t>
            </w:r>
            <w:r w:rsidR="006B7821"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(Брокер исполняет поручения Клиента "с голоса")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0,15% от суммы сделки</w:t>
            </w:r>
          </w:p>
        </w:tc>
      </w:tr>
      <w:tr w:rsidR="00EA30F5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Сделки РЕПО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Срок сделки РЕПО менее 7 календарных дней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0,005% от первой части сделкиРЕПО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EA30F5" w:rsidP="00D566A4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Срок сделки РЕПО от 7 календарных дней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EA30F5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0,01% от первой части сделкиРЕПО</w:t>
            </w:r>
            <w:r w:rsidR="00A907E5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  </w:t>
            </w:r>
          </w:p>
        </w:tc>
      </w:tr>
      <w:tr w:rsidR="00EA30F5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EA30F5" w:rsidRPr="00A907E5" w:rsidRDefault="00EA30F5" w:rsidP="00255B90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Сектор "Срочный рынок"</w:t>
            </w:r>
          </w:p>
        </w:tc>
      </w:tr>
      <w:tr w:rsidR="00BA75EA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EA30F5" w:rsidRPr="00A907E5" w:rsidRDefault="00B11A87" w:rsidP="00B11A8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B11A87">
              <w:rPr>
                <w:rFonts w:ascii="Cambria" w:hAnsi="Cambria"/>
                <w:color w:val="000000"/>
                <w:sz w:val="20"/>
                <w:szCs w:val="20"/>
              </w:rPr>
              <w:t xml:space="preserve">Заключение договоров с производными финансовыми инструментами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(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в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не зависимости от дневного оборота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EA30F5" w:rsidRPr="00A907E5" w:rsidRDefault="002C21E6" w:rsidP="00BA75EA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100% от </w:t>
            </w:r>
            <w:r w:rsidR="00340A24">
              <w:rPr>
                <w:rFonts w:ascii="Cambria" w:hAnsi="Cambria"/>
                <w:color w:val="000000"/>
                <w:sz w:val="20"/>
                <w:szCs w:val="20"/>
              </w:rPr>
              <w:t xml:space="preserve">суммы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биржевого сбора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Тариф РПС, голосовое исполнение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5 руб. за контракт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B11A87" w:rsidRDefault="002C21E6" w:rsidP="002C21E6">
            <w:pPr>
              <w:jc w:val="both"/>
              <w:rPr>
                <w:rFonts w:ascii="Cambria" w:hAnsi="Cambria"/>
                <w:color w:val="000000"/>
                <w:sz w:val="18"/>
                <w:szCs w:val="18"/>
              </w:rPr>
            </w:pPr>
            <w:r w:rsidRPr="00B11A87">
              <w:rPr>
                <w:rFonts w:ascii="Cambria" w:hAnsi="Cambria"/>
                <w:color w:val="000000"/>
                <w:sz w:val="18"/>
                <w:szCs w:val="18"/>
              </w:rPr>
              <w:t>Организация исполнения фьючерсных контрактов, исключая поставочные товарные фьючерсные контракты, и опционов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100% от </w:t>
            </w:r>
            <w:r w:rsidR="00340A24">
              <w:rPr>
                <w:rFonts w:ascii="Cambria" w:hAnsi="Cambria"/>
                <w:color w:val="000000"/>
                <w:sz w:val="20"/>
                <w:szCs w:val="20"/>
              </w:rPr>
              <w:t>суммы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биржевого сбора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C21E6" w:rsidRPr="00A907E5" w:rsidRDefault="002C21E6" w:rsidP="002C21E6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Внебиржевой рынок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Брокерские операции с ценными бумагами,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br/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кроме векселейи кроме сделок РЕПО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0,15% от суммы сделки, 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  <w:t>но не менее 1 000 руб. за операцию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 xml:space="preserve">Размер вознаграждения за операции с ценными бумагами, </w:t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  <w:u w:val="single"/>
              </w:rPr>
              <w:t>не имеющими рыночную стоимость</w:t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, может оговариваться отдельно по каждой сделке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Сделки с векселями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keepNext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В зависимости от оборота за месяц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  <w:r w:rsidR="00B11A87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color w:val="000000"/>
                <w:sz w:val="20"/>
                <w:szCs w:val="20"/>
              </w:rPr>
              <w:t>О</w:t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бороты считаются по сделкам с векселями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до 30 000 000,00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0,2% от суммы сделки  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30 000 000,01 до 500 000 000,00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0,1% от суммы сделки  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500 000 000,01 до 1 000 000 000,00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0,03% от суммы сделки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1 000 000 000,00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0,015% от суммы сделки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При достижении порогового значения в текущем месяце применяется пониженная ставка комиссии. При этом ставка по предшествующим сделкам не меняется.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Погашения векселей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keepNext/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В зависимости от оборота за месяц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  <w:r w:rsidR="00B11A87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i/>
                <w:color w:val="000000"/>
                <w:sz w:val="20"/>
                <w:szCs w:val="20"/>
              </w:rPr>
              <w:t>О</w:t>
            </w: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бороты считаются по операциям погашения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до 30 000 000,00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0,2% от суммы погашения  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30 000 000,01 до 500 000 000,00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0,1% от суммы погашения  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500 000 000,01 до 1 000 000 000,00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0,03% от суммы погашения  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ind w:left="736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от 1 000 000 000,00 руб.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0,015% от суммы погашения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При достижении порогового значения в текущем месяце применяется пониженная ставка комиссии. При этом ставка по предшествующим операциям не меняется.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C21E6" w:rsidRPr="00A907E5" w:rsidRDefault="002C21E6" w:rsidP="002C21E6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Исполнение инструкции Клиента о приобретении от его имени паев инвестиционных фондов у управляющей компании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При первичном размещении и оплате приобретаемых паев денежными средствами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1% от суммы сделки, 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  <w:t>но не менее 15 000 руб. за операцию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Внебиржевая сделка по приобретению паев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1% от суммы сделки, 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  <w:t>но не менее 15 000 руб. за операцию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При первичном размещении и оплате приобретаемых паев ценными бумагами полностью или частично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2% от суммы сделки, 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  <w:t>но не менее 15 000 руб. за операцию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C21E6" w:rsidRPr="00A907E5" w:rsidRDefault="002C21E6" w:rsidP="002C21E6">
            <w:pPr>
              <w:keepNext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b/>
                <w:color w:val="000000"/>
                <w:sz w:val="20"/>
                <w:szCs w:val="20"/>
              </w:rPr>
              <w:t>Сектор "Иностранный рынок"</w:t>
            </w:r>
          </w:p>
        </w:tc>
      </w:tr>
      <w:tr w:rsidR="002C21E6" w:rsidRPr="00A907E5" w:rsidTr="00A907E5">
        <w:trPr>
          <w:trHeight w:val="227"/>
        </w:trPr>
        <w:tc>
          <w:tcPr>
            <w:tcW w:w="2954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>Брокерские операции с иностранными ценными бумагами</w:t>
            </w:r>
            <w:r w:rsidR="00B11A87">
              <w:rPr>
                <w:rFonts w:ascii="Cambria" w:hAnsi="Cambria"/>
                <w:color w:val="000000"/>
                <w:sz w:val="20"/>
                <w:szCs w:val="20"/>
              </w:rPr>
              <w:t xml:space="preserve"> (на иностранных торговых площадках)</w:t>
            </w:r>
          </w:p>
        </w:tc>
        <w:tc>
          <w:tcPr>
            <w:tcW w:w="2046" w:type="pct"/>
            <w:shd w:val="clear" w:color="auto" w:fill="auto"/>
            <w:vAlign w:val="center"/>
            <w:hideMark/>
          </w:tcPr>
          <w:p w:rsidR="002C21E6" w:rsidRPr="00A907E5" w:rsidRDefault="002C21E6" w:rsidP="002C21E6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t xml:space="preserve">0,15% от суммы сделки, </w:t>
            </w:r>
            <w:r w:rsidRPr="00A907E5">
              <w:rPr>
                <w:rFonts w:ascii="Cambria" w:hAnsi="Cambria"/>
                <w:color w:val="000000"/>
                <w:sz w:val="20"/>
                <w:szCs w:val="20"/>
              </w:rPr>
              <w:br/>
              <w:t>но не менее 20 USD за поручение</w:t>
            </w:r>
          </w:p>
        </w:tc>
      </w:tr>
      <w:tr w:rsidR="002C21E6" w:rsidRPr="00A907E5" w:rsidTr="00A907E5">
        <w:trPr>
          <w:trHeight w:val="22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C21E6" w:rsidRPr="00A907E5" w:rsidRDefault="002C21E6" w:rsidP="002C21E6">
            <w:pPr>
              <w:jc w:val="both"/>
              <w:rPr>
                <w:rFonts w:ascii="Cambria" w:hAnsi="Cambria"/>
                <w:i/>
                <w:color w:val="000000"/>
                <w:sz w:val="20"/>
                <w:szCs w:val="20"/>
              </w:rPr>
            </w:pPr>
            <w:r w:rsidRPr="00A907E5">
              <w:rPr>
                <w:rFonts w:ascii="Cambria" w:hAnsi="Cambria"/>
                <w:i/>
                <w:color w:val="000000"/>
                <w:sz w:val="20"/>
                <w:szCs w:val="20"/>
              </w:rPr>
              <w:t>Размер вознаграждения за операции с иностранными ценными бумагами может оговариваться отдельно по каждой торговой площадке, в зависимости от технических возможностей и затрат по подключению к торговым системам</w:t>
            </w:r>
          </w:p>
        </w:tc>
      </w:tr>
    </w:tbl>
    <w:p w:rsidR="000B150B" w:rsidRPr="00A907E5" w:rsidRDefault="000B150B" w:rsidP="00E52AD5">
      <w:pPr>
        <w:shd w:val="clear" w:color="auto" w:fill="FFFFFF"/>
        <w:rPr>
          <w:rFonts w:ascii="Cambria" w:hAnsi="Cambria"/>
          <w:bCs/>
          <w:color w:val="333333"/>
          <w:sz w:val="20"/>
          <w:szCs w:val="20"/>
        </w:rPr>
      </w:pPr>
    </w:p>
    <w:sectPr w:rsidR="000B150B" w:rsidRPr="00A907E5" w:rsidSect="00B11A87">
      <w:headerReference w:type="default" r:id="rId7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0B" w:rsidRDefault="0018550B" w:rsidP="00C8252C">
      <w:r>
        <w:separator/>
      </w:r>
    </w:p>
  </w:endnote>
  <w:endnote w:type="continuationSeparator" w:id="0">
    <w:p w:rsidR="0018550B" w:rsidRDefault="0018550B" w:rsidP="00C8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0B" w:rsidRDefault="0018550B" w:rsidP="00C8252C">
      <w:r>
        <w:separator/>
      </w:r>
    </w:p>
  </w:footnote>
  <w:footnote w:type="continuationSeparator" w:id="0">
    <w:p w:rsidR="0018550B" w:rsidRDefault="0018550B" w:rsidP="00C82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52C" w:rsidRPr="00A907E5" w:rsidRDefault="00C8252C" w:rsidP="00C8252C">
    <w:pPr>
      <w:pStyle w:val="a3"/>
      <w:jc w:val="right"/>
      <w:rPr>
        <w:rFonts w:ascii="Cambria" w:hAnsi="Cambria"/>
        <w:sz w:val="16"/>
        <w:szCs w:val="16"/>
      </w:rPr>
    </w:pPr>
    <w:r w:rsidRPr="00A907E5">
      <w:rPr>
        <w:rFonts w:ascii="Cambria" w:hAnsi="Cambria"/>
        <w:sz w:val="16"/>
        <w:szCs w:val="16"/>
      </w:rPr>
      <w:t>Приложение №</w:t>
    </w:r>
    <w:r w:rsidR="004C22E1">
      <w:rPr>
        <w:rFonts w:ascii="Cambria" w:hAnsi="Cambria"/>
        <w:sz w:val="16"/>
        <w:szCs w:val="16"/>
      </w:rPr>
      <w:t>18</w:t>
    </w:r>
    <w:r w:rsidRPr="00A907E5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C8252C" w:rsidRPr="00A907E5" w:rsidRDefault="00C8252C" w:rsidP="00C8252C">
    <w:pPr>
      <w:pStyle w:val="a3"/>
      <w:tabs>
        <w:tab w:val="clear" w:pos="4677"/>
        <w:tab w:val="clear" w:pos="9355"/>
      </w:tabs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AD5"/>
    <w:rsid w:val="0000364A"/>
    <w:rsid w:val="000B150B"/>
    <w:rsid w:val="000E0FD6"/>
    <w:rsid w:val="00147861"/>
    <w:rsid w:val="0018550B"/>
    <w:rsid w:val="00255B90"/>
    <w:rsid w:val="00270F93"/>
    <w:rsid w:val="002A0851"/>
    <w:rsid w:val="002B796A"/>
    <w:rsid w:val="002C21E6"/>
    <w:rsid w:val="00340A24"/>
    <w:rsid w:val="004C22E1"/>
    <w:rsid w:val="00622F40"/>
    <w:rsid w:val="006763D0"/>
    <w:rsid w:val="006B7821"/>
    <w:rsid w:val="00706701"/>
    <w:rsid w:val="007145FE"/>
    <w:rsid w:val="00A329E6"/>
    <w:rsid w:val="00A907E5"/>
    <w:rsid w:val="00B11A87"/>
    <w:rsid w:val="00B437F8"/>
    <w:rsid w:val="00B93B76"/>
    <w:rsid w:val="00B93C8A"/>
    <w:rsid w:val="00BA75EA"/>
    <w:rsid w:val="00C8252C"/>
    <w:rsid w:val="00D2296C"/>
    <w:rsid w:val="00D566A4"/>
    <w:rsid w:val="00E21F42"/>
    <w:rsid w:val="00E52AD5"/>
    <w:rsid w:val="00EA30F5"/>
    <w:rsid w:val="00F443E5"/>
    <w:rsid w:val="00FF2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D73D"/>
  <w15:docId w15:val="{83E9675F-23EC-4C0C-AC5F-88B9EF5C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52AD5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52AD5"/>
    <w:rPr>
      <w:rFonts w:eastAsiaTheme="minorEastAsia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C825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825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825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5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81BFF-A873-49C3-A6B4-BB25E436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13</cp:revision>
  <dcterms:created xsi:type="dcterms:W3CDTF">2016-10-22T12:35:00Z</dcterms:created>
  <dcterms:modified xsi:type="dcterms:W3CDTF">2016-11-14T12:20:00Z</dcterms:modified>
</cp:coreProperties>
</file>